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1C" w:rsidRDefault="0082331C"/>
    <w:p w:rsidR="007E5D40" w:rsidRDefault="007E5D40" w:rsidP="00B617AA">
      <w:pPr>
        <w:jc w:val="center"/>
        <w:rPr>
          <w:b/>
        </w:rPr>
      </w:pPr>
      <w:r>
        <w:rPr>
          <w:b/>
          <w:noProof/>
        </w:rPr>
        <w:drawing>
          <wp:inline distT="0" distB="0" distL="0" distR="0">
            <wp:extent cx="5448300" cy="1143000"/>
            <wp:effectExtent l="19050" t="0" r="0" b="0"/>
            <wp:docPr id="1" name="Picture 0" descr="RedRacingHor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RacingHorses1.jpg"/>
                    <pic:cNvPicPr/>
                  </pic:nvPicPr>
                  <pic:blipFill>
                    <a:blip r:embed="rId6" cstate="print"/>
                    <a:stretch>
                      <a:fillRect/>
                    </a:stretch>
                  </pic:blipFill>
                  <pic:spPr>
                    <a:xfrm>
                      <a:off x="0" y="0"/>
                      <a:ext cx="5448300" cy="1143000"/>
                    </a:xfrm>
                    <a:prstGeom prst="rect">
                      <a:avLst/>
                    </a:prstGeom>
                  </pic:spPr>
                </pic:pic>
              </a:graphicData>
            </a:graphic>
          </wp:inline>
        </w:drawing>
      </w:r>
    </w:p>
    <w:p w:rsidR="00666A1D" w:rsidRPr="007E5D40" w:rsidRDefault="007E5D40" w:rsidP="00B617AA">
      <w:pPr>
        <w:jc w:val="center"/>
        <w:rPr>
          <w:b/>
          <w:sz w:val="32"/>
          <w:szCs w:val="32"/>
        </w:rPr>
      </w:pPr>
      <w:r>
        <w:rPr>
          <w:b/>
          <w:sz w:val="32"/>
          <w:szCs w:val="32"/>
        </w:rPr>
        <w:t>Red Racing Horses Survey - MS</w:t>
      </w:r>
      <w:r w:rsidR="00E87BC0" w:rsidRPr="007E5D40">
        <w:rPr>
          <w:b/>
          <w:sz w:val="32"/>
          <w:szCs w:val="32"/>
        </w:rPr>
        <w:t xml:space="preserve"> </w:t>
      </w:r>
      <w:r>
        <w:rPr>
          <w:b/>
          <w:sz w:val="32"/>
          <w:szCs w:val="32"/>
        </w:rPr>
        <w:t xml:space="preserve">US </w:t>
      </w:r>
      <w:r w:rsidR="00E87BC0" w:rsidRPr="007E5D40">
        <w:rPr>
          <w:b/>
          <w:sz w:val="32"/>
          <w:szCs w:val="32"/>
        </w:rPr>
        <w:t>Senate Republican Primary: Cochran 1 point ahead of McDaniel</w:t>
      </w:r>
      <w:r w:rsidR="00666A1D" w:rsidRPr="007E5D40">
        <w:rPr>
          <w:b/>
          <w:sz w:val="32"/>
          <w:szCs w:val="32"/>
        </w:rPr>
        <w:t>,</w:t>
      </w:r>
      <w:r>
        <w:rPr>
          <w:b/>
          <w:sz w:val="32"/>
          <w:szCs w:val="32"/>
        </w:rPr>
        <w:t xml:space="preserve"> 42-41;</w:t>
      </w:r>
      <w:r w:rsidR="00666A1D" w:rsidRPr="007E5D40">
        <w:rPr>
          <w:b/>
          <w:sz w:val="32"/>
          <w:szCs w:val="32"/>
        </w:rPr>
        <w:t xml:space="preserve"> Runoff Looks </w:t>
      </w:r>
      <w:r>
        <w:rPr>
          <w:b/>
          <w:sz w:val="32"/>
          <w:szCs w:val="32"/>
        </w:rPr>
        <w:t>Possible</w:t>
      </w:r>
    </w:p>
    <w:p w:rsidR="00666A1D" w:rsidRDefault="00666A1D">
      <w:r>
        <w:t xml:space="preserve">Ahead of next week’s Mississippi </w:t>
      </w:r>
      <w:r w:rsidR="007E5D40">
        <w:t xml:space="preserve">US </w:t>
      </w:r>
      <w:r>
        <w:t xml:space="preserve">Senate Primary, Incumbent Sen. Thad Cochran looks to be in a very close race with State Sen. Chris McDaniel, </w:t>
      </w:r>
      <w:r w:rsidR="00E87BC0">
        <w:t xml:space="preserve">leading his challenger by a razor-thin 42-41 margin. Indeed, </w:t>
      </w:r>
      <w:r>
        <w:t xml:space="preserve">the possibility of a June 24 runoff forced by a third spoiler candidate, Thomas Carey, looks increasingly likely. However, twelve percent of voters are still undecided at this late date. The survey </w:t>
      </w:r>
      <w:r w:rsidR="0095530D">
        <w:t xml:space="preserve">of 374 </w:t>
      </w:r>
      <w:r w:rsidR="007E5D40">
        <w:t xml:space="preserve">adults, with a margin of error of +/- 5%, </w:t>
      </w:r>
      <w:r>
        <w:t>was conducted on May 28 and 29, 2014. Calls were made by PMI inc., Marianna, Fla., with all survey design and data analysis by Red Racing Horses.</w:t>
      </w:r>
      <w:r w:rsidR="007E5D40">
        <w:t xml:space="preserve">  RRH has no connection to any candidate or independent group active in this race; funding for this poll was provided from the generous donations of RRH readers and a presenting sponsorship from our partner blog, </w:t>
      </w:r>
      <w:proofErr w:type="spellStart"/>
      <w:r w:rsidR="007E5D40">
        <w:t>amerikanskpolitikk.no</w:t>
      </w:r>
      <w:proofErr w:type="spellEnd"/>
      <w:r w:rsidR="007E5D40">
        <w:t>. To contact Red Racing Horses about this poll, please e-mail us at redracinghorses@yahoo.com.</w:t>
      </w:r>
    </w:p>
    <w:p w:rsidR="0095530D" w:rsidRPr="007E5D40" w:rsidRDefault="0095530D">
      <w:pPr>
        <w:rPr>
          <w:b/>
        </w:rPr>
      </w:pPr>
      <w:r w:rsidRPr="007E5D40">
        <w:rPr>
          <w:b/>
        </w:rPr>
        <w:t>Methodology:</w:t>
      </w:r>
    </w:p>
    <w:p w:rsidR="0095530D" w:rsidRDefault="0095530D">
      <w:r>
        <w:t xml:space="preserve">Calls were placed to 374 adults who voted in the 2011 Republican primary. As many offices were up for election in 2011, we felt that this electorate was a rough approximation of the electorate likely to turn out this year, in which fewer races are up for grabs but the most prominent race on the ballot (the Senate contest) is more high profile.  Respondents who did not state an inclination to vote in the primary or did not give a </w:t>
      </w:r>
      <w:proofErr w:type="spellStart"/>
      <w:r>
        <w:t>topline</w:t>
      </w:r>
      <w:proofErr w:type="spellEnd"/>
      <w:r>
        <w:t xml:space="preserve"> preference were not included in the survey. If a respondent stated a </w:t>
      </w:r>
      <w:proofErr w:type="spellStart"/>
      <w:r>
        <w:t>topline</w:t>
      </w:r>
      <w:proofErr w:type="spellEnd"/>
      <w:r>
        <w:t xml:space="preserve"> choice but did not complete the survey, data was derived for the other questions to the greatest extent possible from the voter file. Where that was not possible, responses were marked as “other.” In keeping with RRH’s philosophical mission to use as much concrete data instead of our own assumptions wherever possible, the only weig</w:t>
      </w:r>
      <w:r w:rsidR="0009169B">
        <w:t>hting of the data was for age,</w:t>
      </w:r>
      <w:r>
        <w:t xml:space="preserve"> gender,</w:t>
      </w:r>
      <w:r w:rsidR="0009169B">
        <w:t xml:space="preserve"> and geography</w:t>
      </w:r>
      <w:r>
        <w:t xml:space="preserve"> increasing the proportion of young and male voters in the sample to bring the sample more in line with projections for the</w:t>
      </w:r>
      <w:r w:rsidR="0009169B">
        <w:t xml:space="preserve"> Mississi</w:t>
      </w:r>
      <w:r w:rsidR="00D5008D">
        <w:t>ppi primary electorate, and dec</w:t>
      </w:r>
      <w:r w:rsidR="0009169B">
        <w:t>reasing the number of CD-4 voters, who were oversa</w:t>
      </w:r>
      <w:r w:rsidR="00D5008D">
        <w:t>mpled in the initial population</w:t>
      </w:r>
      <w:r w:rsidR="00E7064F">
        <w:t>.</w:t>
      </w:r>
    </w:p>
    <w:p w:rsidR="007E5D40" w:rsidRDefault="007E5D40"/>
    <w:p w:rsidR="007E5D40" w:rsidRDefault="007E5D40"/>
    <w:p w:rsidR="007E5D40" w:rsidRDefault="007E5D40"/>
    <w:p w:rsidR="00666A1D" w:rsidRPr="007E5D40" w:rsidRDefault="00666A1D">
      <w:pPr>
        <w:rPr>
          <w:b/>
        </w:rPr>
      </w:pPr>
      <w:proofErr w:type="spellStart"/>
      <w:r w:rsidRPr="007E5D40">
        <w:rPr>
          <w:b/>
        </w:rPr>
        <w:lastRenderedPageBreak/>
        <w:t>Toplines</w:t>
      </w:r>
      <w:proofErr w:type="spellEnd"/>
      <w:r w:rsidRPr="007E5D40">
        <w:rPr>
          <w:b/>
        </w:rPr>
        <w:t>:</w:t>
      </w:r>
    </w:p>
    <w:tbl>
      <w:tblPr>
        <w:tblStyle w:val="TableGrid"/>
        <w:tblW w:w="0" w:type="auto"/>
        <w:tblLook w:val="04A0"/>
      </w:tblPr>
      <w:tblGrid>
        <w:gridCol w:w="4788"/>
        <w:gridCol w:w="4788"/>
      </w:tblGrid>
      <w:tr w:rsidR="00666A1D" w:rsidTr="00666A1D">
        <w:tc>
          <w:tcPr>
            <w:tcW w:w="4788" w:type="dxa"/>
          </w:tcPr>
          <w:p w:rsidR="00666A1D" w:rsidRDefault="00666A1D">
            <w:r>
              <w:t>Candidate</w:t>
            </w:r>
          </w:p>
        </w:tc>
        <w:tc>
          <w:tcPr>
            <w:tcW w:w="4788" w:type="dxa"/>
          </w:tcPr>
          <w:p w:rsidR="00666A1D" w:rsidRDefault="00666A1D">
            <w:r>
              <w:t>Performance</w:t>
            </w:r>
          </w:p>
        </w:tc>
      </w:tr>
      <w:tr w:rsidR="00666A1D" w:rsidTr="00666A1D">
        <w:tc>
          <w:tcPr>
            <w:tcW w:w="4788" w:type="dxa"/>
          </w:tcPr>
          <w:p w:rsidR="00666A1D" w:rsidRDefault="00666A1D">
            <w:r>
              <w:t>Sen. Thad Cochran</w:t>
            </w:r>
          </w:p>
        </w:tc>
        <w:tc>
          <w:tcPr>
            <w:tcW w:w="4788" w:type="dxa"/>
          </w:tcPr>
          <w:p w:rsidR="00666A1D" w:rsidRDefault="00666A1D" w:rsidP="00E87BC0">
            <w:r>
              <w:t>4</w:t>
            </w:r>
            <w:r w:rsidR="00E87BC0">
              <w:t>2</w:t>
            </w:r>
            <w:r>
              <w:t>%</w:t>
            </w:r>
          </w:p>
        </w:tc>
      </w:tr>
      <w:tr w:rsidR="00666A1D" w:rsidTr="00666A1D">
        <w:tc>
          <w:tcPr>
            <w:tcW w:w="4788" w:type="dxa"/>
          </w:tcPr>
          <w:p w:rsidR="00666A1D" w:rsidRDefault="00666A1D">
            <w:r>
              <w:t>State Sen. Chris McDaniel</w:t>
            </w:r>
          </w:p>
        </w:tc>
        <w:tc>
          <w:tcPr>
            <w:tcW w:w="4788" w:type="dxa"/>
          </w:tcPr>
          <w:p w:rsidR="00666A1D" w:rsidRDefault="00666A1D">
            <w:r>
              <w:t>41%</w:t>
            </w:r>
          </w:p>
        </w:tc>
      </w:tr>
      <w:tr w:rsidR="00666A1D" w:rsidTr="00666A1D">
        <w:tc>
          <w:tcPr>
            <w:tcW w:w="4788" w:type="dxa"/>
          </w:tcPr>
          <w:p w:rsidR="00666A1D" w:rsidRDefault="00666A1D">
            <w:r>
              <w:t>Thomas Carey</w:t>
            </w:r>
          </w:p>
        </w:tc>
        <w:tc>
          <w:tcPr>
            <w:tcW w:w="4788" w:type="dxa"/>
          </w:tcPr>
          <w:p w:rsidR="00666A1D" w:rsidRDefault="00666A1D">
            <w:r>
              <w:t>6%</w:t>
            </w:r>
          </w:p>
        </w:tc>
      </w:tr>
      <w:tr w:rsidR="00666A1D" w:rsidTr="00666A1D">
        <w:tc>
          <w:tcPr>
            <w:tcW w:w="4788" w:type="dxa"/>
          </w:tcPr>
          <w:p w:rsidR="00666A1D" w:rsidRDefault="00666A1D">
            <w:r>
              <w:t>Undecided</w:t>
            </w:r>
          </w:p>
        </w:tc>
        <w:tc>
          <w:tcPr>
            <w:tcW w:w="4788" w:type="dxa"/>
          </w:tcPr>
          <w:p w:rsidR="00666A1D" w:rsidRDefault="00666A1D">
            <w:r>
              <w:t>12%</w:t>
            </w:r>
          </w:p>
        </w:tc>
      </w:tr>
    </w:tbl>
    <w:p w:rsidR="00666A1D" w:rsidRDefault="00666A1D"/>
    <w:tbl>
      <w:tblPr>
        <w:tblStyle w:val="TableGrid"/>
        <w:tblW w:w="0" w:type="auto"/>
        <w:tblLook w:val="04A0"/>
      </w:tblPr>
      <w:tblGrid>
        <w:gridCol w:w="4788"/>
        <w:gridCol w:w="4788"/>
      </w:tblGrid>
      <w:tr w:rsidR="001A2FC6" w:rsidTr="001A2FC6">
        <w:tc>
          <w:tcPr>
            <w:tcW w:w="4788" w:type="dxa"/>
          </w:tcPr>
          <w:p w:rsidR="001A2FC6" w:rsidRDefault="001A2FC6">
            <w:r>
              <w:t>Self-</w:t>
            </w:r>
            <w:proofErr w:type="spellStart"/>
            <w:r>
              <w:t>Idendification</w:t>
            </w:r>
            <w:proofErr w:type="spellEnd"/>
          </w:p>
        </w:tc>
        <w:tc>
          <w:tcPr>
            <w:tcW w:w="4788" w:type="dxa"/>
          </w:tcPr>
          <w:p w:rsidR="001A2FC6" w:rsidRDefault="001A2FC6" w:rsidP="001A2FC6">
            <w:r>
              <w:t>Percentage</w:t>
            </w:r>
          </w:p>
        </w:tc>
      </w:tr>
      <w:tr w:rsidR="001A2FC6" w:rsidTr="001A2FC6">
        <w:tc>
          <w:tcPr>
            <w:tcW w:w="4788" w:type="dxa"/>
          </w:tcPr>
          <w:p w:rsidR="001A2FC6" w:rsidRDefault="001A2FC6">
            <w:r>
              <w:t>Tea Party</w:t>
            </w:r>
          </w:p>
        </w:tc>
        <w:tc>
          <w:tcPr>
            <w:tcW w:w="4788" w:type="dxa"/>
          </w:tcPr>
          <w:p w:rsidR="001A2FC6" w:rsidRDefault="001A2FC6">
            <w:r>
              <w:t>27%</w:t>
            </w:r>
          </w:p>
        </w:tc>
      </w:tr>
      <w:tr w:rsidR="001A2FC6" w:rsidTr="001A2FC6">
        <w:tc>
          <w:tcPr>
            <w:tcW w:w="4788" w:type="dxa"/>
          </w:tcPr>
          <w:p w:rsidR="001A2FC6" w:rsidRDefault="001A2FC6">
            <w:r>
              <w:t>Conservative but not Tea Party</w:t>
            </w:r>
          </w:p>
        </w:tc>
        <w:tc>
          <w:tcPr>
            <w:tcW w:w="4788" w:type="dxa"/>
          </w:tcPr>
          <w:p w:rsidR="001A2FC6" w:rsidRDefault="001A2FC6">
            <w:r>
              <w:t>57%</w:t>
            </w:r>
          </w:p>
        </w:tc>
      </w:tr>
      <w:tr w:rsidR="001A2FC6" w:rsidTr="001A2FC6">
        <w:tc>
          <w:tcPr>
            <w:tcW w:w="4788" w:type="dxa"/>
          </w:tcPr>
          <w:p w:rsidR="001A2FC6" w:rsidRDefault="001A2FC6">
            <w:r>
              <w:t>Neither Conservative nor Tea Party</w:t>
            </w:r>
          </w:p>
        </w:tc>
        <w:tc>
          <w:tcPr>
            <w:tcW w:w="4788" w:type="dxa"/>
          </w:tcPr>
          <w:p w:rsidR="001A2FC6" w:rsidRDefault="001A2FC6">
            <w:r>
              <w:t>16%</w:t>
            </w:r>
          </w:p>
        </w:tc>
      </w:tr>
      <w:tr w:rsidR="001A2FC6" w:rsidTr="001A2FC6">
        <w:tc>
          <w:tcPr>
            <w:tcW w:w="4788" w:type="dxa"/>
          </w:tcPr>
          <w:p w:rsidR="001A2FC6" w:rsidRDefault="001A2FC6">
            <w:r>
              <w:t>Other</w:t>
            </w:r>
          </w:p>
        </w:tc>
        <w:tc>
          <w:tcPr>
            <w:tcW w:w="4788" w:type="dxa"/>
          </w:tcPr>
          <w:p w:rsidR="001A2FC6" w:rsidRDefault="001A2FC6">
            <w:r>
              <w:t>7%</w:t>
            </w:r>
          </w:p>
        </w:tc>
      </w:tr>
    </w:tbl>
    <w:p w:rsidR="001A2FC6" w:rsidRDefault="001A2FC6"/>
    <w:p w:rsidR="000752C1" w:rsidRDefault="009C23AD">
      <w:r>
        <w:t>The poll was weighted in</w:t>
      </w:r>
      <w:r w:rsidR="0009169B">
        <w:t xml:space="preserve"> three dimensions, age, </w:t>
      </w:r>
      <w:r>
        <w:t>gender</w:t>
      </w:r>
      <w:r w:rsidR="0009169B">
        <w:t>, and geography</w:t>
      </w:r>
      <w:r>
        <w:t>:</w:t>
      </w:r>
    </w:p>
    <w:tbl>
      <w:tblPr>
        <w:tblStyle w:val="TableGrid"/>
        <w:tblW w:w="0" w:type="auto"/>
        <w:tblLook w:val="04A0"/>
      </w:tblPr>
      <w:tblGrid>
        <w:gridCol w:w="4788"/>
        <w:gridCol w:w="4788"/>
      </w:tblGrid>
      <w:tr w:rsidR="000752C1" w:rsidTr="000752C1">
        <w:tc>
          <w:tcPr>
            <w:tcW w:w="4788" w:type="dxa"/>
          </w:tcPr>
          <w:p w:rsidR="000752C1" w:rsidRDefault="000752C1">
            <w:r>
              <w:t>Category</w:t>
            </w:r>
          </w:p>
        </w:tc>
        <w:tc>
          <w:tcPr>
            <w:tcW w:w="4788" w:type="dxa"/>
          </w:tcPr>
          <w:p w:rsidR="000752C1" w:rsidRDefault="000752C1">
            <w:r>
              <w:t>Weight</w:t>
            </w:r>
          </w:p>
        </w:tc>
      </w:tr>
      <w:tr w:rsidR="000752C1" w:rsidTr="000752C1">
        <w:tc>
          <w:tcPr>
            <w:tcW w:w="4788" w:type="dxa"/>
          </w:tcPr>
          <w:p w:rsidR="000752C1" w:rsidRDefault="000752C1">
            <w:r>
              <w:t>Male</w:t>
            </w:r>
          </w:p>
        </w:tc>
        <w:tc>
          <w:tcPr>
            <w:tcW w:w="4788" w:type="dxa"/>
          </w:tcPr>
          <w:p w:rsidR="000752C1" w:rsidRDefault="000752C1">
            <w:r>
              <w:t>47%</w:t>
            </w:r>
          </w:p>
        </w:tc>
      </w:tr>
      <w:tr w:rsidR="000752C1" w:rsidTr="000752C1">
        <w:tc>
          <w:tcPr>
            <w:tcW w:w="4788" w:type="dxa"/>
          </w:tcPr>
          <w:p w:rsidR="000752C1" w:rsidRDefault="000752C1">
            <w:r>
              <w:t>Female</w:t>
            </w:r>
          </w:p>
        </w:tc>
        <w:tc>
          <w:tcPr>
            <w:tcW w:w="4788" w:type="dxa"/>
          </w:tcPr>
          <w:p w:rsidR="000752C1" w:rsidRDefault="000752C1">
            <w:r>
              <w:t>53%</w:t>
            </w:r>
          </w:p>
        </w:tc>
      </w:tr>
      <w:tr w:rsidR="000752C1" w:rsidTr="000752C1">
        <w:tc>
          <w:tcPr>
            <w:tcW w:w="4788" w:type="dxa"/>
          </w:tcPr>
          <w:p w:rsidR="000752C1" w:rsidRDefault="000752C1">
            <w:r>
              <w:t>18-44</w:t>
            </w:r>
          </w:p>
        </w:tc>
        <w:tc>
          <w:tcPr>
            <w:tcW w:w="4788" w:type="dxa"/>
          </w:tcPr>
          <w:p w:rsidR="000752C1" w:rsidRDefault="000752C1">
            <w:r>
              <w:t>14%</w:t>
            </w:r>
          </w:p>
        </w:tc>
      </w:tr>
      <w:tr w:rsidR="000752C1" w:rsidTr="000752C1">
        <w:tc>
          <w:tcPr>
            <w:tcW w:w="4788" w:type="dxa"/>
          </w:tcPr>
          <w:p w:rsidR="000752C1" w:rsidRDefault="000752C1">
            <w:r>
              <w:t>45-64</w:t>
            </w:r>
          </w:p>
        </w:tc>
        <w:tc>
          <w:tcPr>
            <w:tcW w:w="4788" w:type="dxa"/>
          </w:tcPr>
          <w:p w:rsidR="000752C1" w:rsidRDefault="000752C1">
            <w:r>
              <w:t>42%</w:t>
            </w:r>
          </w:p>
        </w:tc>
      </w:tr>
      <w:tr w:rsidR="000752C1" w:rsidTr="000752C1">
        <w:tc>
          <w:tcPr>
            <w:tcW w:w="4788" w:type="dxa"/>
          </w:tcPr>
          <w:p w:rsidR="000752C1" w:rsidRDefault="000752C1">
            <w:r>
              <w:t>65+</w:t>
            </w:r>
          </w:p>
        </w:tc>
        <w:tc>
          <w:tcPr>
            <w:tcW w:w="4788" w:type="dxa"/>
          </w:tcPr>
          <w:p w:rsidR="000752C1" w:rsidRDefault="000752C1">
            <w:r>
              <w:t>44%</w:t>
            </w:r>
          </w:p>
        </w:tc>
      </w:tr>
    </w:tbl>
    <w:p w:rsidR="009C23AD" w:rsidRDefault="000752C1">
      <w:r w:rsidRPr="00666A1D">
        <w:t xml:space="preserve"> </w:t>
      </w:r>
    </w:p>
    <w:tbl>
      <w:tblPr>
        <w:tblStyle w:val="TableGrid"/>
        <w:tblW w:w="0" w:type="auto"/>
        <w:tblLook w:val="04A0"/>
      </w:tblPr>
      <w:tblGrid>
        <w:gridCol w:w="4788"/>
        <w:gridCol w:w="4788"/>
      </w:tblGrid>
      <w:tr w:rsidR="0009169B" w:rsidTr="0009169B">
        <w:tc>
          <w:tcPr>
            <w:tcW w:w="4788" w:type="dxa"/>
          </w:tcPr>
          <w:p w:rsidR="0009169B" w:rsidRDefault="0009169B">
            <w:r>
              <w:t>Geography</w:t>
            </w:r>
          </w:p>
        </w:tc>
        <w:tc>
          <w:tcPr>
            <w:tcW w:w="4788" w:type="dxa"/>
          </w:tcPr>
          <w:p w:rsidR="0009169B" w:rsidRDefault="0009169B">
            <w:r>
              <w:t>Weight</w:t>
            </w:r>
          </w:p>
        </w:tc>
      </w:tr>
      <w:tr w:rsidR="0009169B" w:rsidTr="0009169B">
        <w:tc>
          <w:tcPr>
            <w:tcW w:w="4788" w:type="dxa"/>
          </w:tcPr>
          <w:p w:rsidR="0009169B" w:rsidRDefault="0009169B">
            <w:r>
              <w:t>CD-1</w:t>
            </w:r>
          </w:p>
        </w:tc>
        <w:tc>
          <w:tcPr>
            <w:tcW w:w="4788" w:type="dxa"/>
          </w:tcPr>
          <w:p w:rsidR="0009169B" w:rsidRDefault="00B10DBC" w:rsidP="00D5008D">
            <w:r>
              <w:t>2</w:t>
            </w:r>
            <w:r w:rsidR="00D5008D">
              <w:t>0</w:t>
            </w:r>
            <w:r>
              <w:t>%</w:t>
            </w:r>
          </w:p>
        </w:tc>
      </w:tr>
      <w:tr w:rsidR="0009169B" w:rsidTr="0009169B">
        <w:tc>
          <w:tcPr>
            <w:tcW w:w="4788" w:type="dxa"/>
          </w:tcPr>
          <w:p w:rsidR="0009169B" w:rsidRDefault="0009169B">
            <w:r>
              <w:t>CD-2</w:t>
            </w:r>
          </w:p>
        </w:tc>
        <w:tc>
          <w:tcPr>
            <w:tcW w:w="4788" w:type="dxa"/>
          </w:tcPr>
          <w:p w:rsidR="0009169B" w:rsidRDefault="0009169B">
            <w:r>
              <w:t>15%</w:t>
            </w:r>
          </w:p>
        </w:tc>
      </w:tr>
      <w:tr w:rsidR="0009169B" w:rsidTr="0009169B">
        <w:tc>
          <w:tcPr>
            <w:tcW w:w="4788" w:type="dxa"/>
          </w:tcPr>
          <w:p w:rsidR="0009169B" w:rsidRDefault="0009169B">
            <w:r>
              <w:t>CD-3</w:t>
            </w:r>
          </w:p>
        </w:tc>
        <w:tc>
          <w:tcPr>
            <w:tcW w:w="4788" w:type="dxa"/>
          </w:tcPr>
          <w:p w:rsidR="0009169B" w:rsidRDefault="00FE1305">
            <w:r>
              <w:t>30</w:t>
            </w:r>
            <w:r w:rsidR="00B10DBC">
              <w:t>%</w:t>
            </w:r>
          </w:p>
        </w:tc>
      </w:tr>
      <w:tr w:rsidR="0009169B" w:rsidTr="0009169B">
        <w:tc>
          <w:tcPr>
            <w:tcW w:w="4788" w:type="dxa"/>
          </w:tcPr>
          <w:p w:rsidR="0009169B" w:rsidRDefault="0009169B">
            <w:r>
              <w:t>CD-4</w:t>
            </w:r>
          </w:p>
        </w:tc>
        <w:tc>
          <w:tcPr>
            <w:tcW w:w="4788" w:type="dxa"/>
          </w:tcPr>
          <w:p w:rsidR="0009169B" w:rsidRDefault="00D5008D">
            <w:r>
              <w:t>35</w:t>
            </w:r>
            <w:r w:rsidR="00B10DBC">
              <w:t>%</w:t>
            </w:r>
          </w:p>
        </w:tc>
      </w:tr>
    </w:tbl>
    <w:p w:rsidR="0009169B" w:rsidRDefault="0009169B"/>
    <w:p w:rsidR="00B10DBC" w:rsidRDefault="00B10DBC">
      <w:r>
        <w:t xml:space="preserve">CD-4 was </w:t>
      </w:r>
      <w:proofErr w:type="spellStart"/>
      <w:r>
        <w:t>upweighted</w:t>
      </w:r>
      <w:proofErr w:type="spellEnd"/>
      <w:r>
        <w:t xml:space="preserve"> slightly </w:t>
      </w:r>
      <w:r w:rsidR="00B617AA">
        <w:t xml:space="preserve">relative to its population </w:t>
      </w:r>
      <w:r>
        <w:t xml:space="preserve">due to the competitive congressional primary between Rep. Steven </w:t>
      </w:r>
      <w:proofErr w:type="spellStart"/>
      <w:r>
        <w:t>Pallazzo</w:t>
      </w:r>
      <w:proofErr w:type="spellEnd"/>
      <w:r>
        <w:t xml:space="preserve"> and ex-Rep. Gene Taylor, while CD-2 was </w:t>
      </w:r>
      <w:proofErr w:type="spellStart"/>
      <w:r>
        <w:t>downweighted</w:t>
      </w:r>
      <w:proofErr w:type="spellEnd"/>
      <w:r>
        <w:t xml:space="preserve"> due to the dramatically </w:t>
      </w:r>
      <w:r w:rsidR="00D5008D">
        <w:t xml:space="preserve">lower proportion of Republicans in the district. CD-1 was also </w:t>
      </w:r>
      <w:proofErr w:type="spellStart"/>
      <w:r w:rsidR="00D5008D">
        <w:t>downweighted</w:t>
      </w:r>
      <w:proofErr w:type="spellEnd"/>
      <w:r w:rsidR="00D5008D">
        <w:t xml:space="preserve"> because the voters in that district have been more likely to pull Democratic ballots due to continued Democratic identification among white voters that does not exist in the rest of the state.</w:t>
      </w:r>
    </w:p>
    <w:p w:rsidR="00987125" w:rsidRDefault="00987125" w:rsidP="00987125">
      <w:r>
        <w:t>Racial Data (derived from voter file)</w:t>
      </w:r>
    </w:p>
    <w:tbl>
      <w:tblPr>
        <w:tblStyle w:val="TableGrid"/>
        <w:tblW w:w="0" w:type="auto"/>
        <w:tblLook w:val="04A0"/>
      </w:tblPr>
      <w:tblGrid>
        <w:gridCol w:w="4788"/>
        <w:gridCol w:w="4788"/>
      </w:tblGrid>
      <w:tr w:rsidR="00987125" w:rsidTr="006468F0">
        <w:tc>
          <w:tcPr>
            <w:tcW w:w="4788" w:type="dxa"/>
          </w:tcPr>
          <w:p w:rsidR="00987125" w:rsidRDefault="00987125" w:rsidP="006468F0">
            <w:r>
              <w:t>Race</w:t>
            </w:r>
          </w:p>
        </w:tc>
        <w:tc>
          <w:tcPr>
            <w:tcW w:w="4788" w:type="dxa"/>
          </w:tcPr>
          <w:p w:rsidR="00987125" w:rsidRDefault="00987125" w:rsidP="006468F0">
            <w:r>
              <w:t>Percentage</w:t>
            </w:r>
          </w:p>
        </w:tc>
      </w:tr>
      <w:tr w:rsidR="00987125" w:rsidTr="006468F0">
        <w:tc>
          <w:tcPr>
            <w:tcW w:w="4788" w:type="dxa"/>
          </w:tcPr>
          <w:p w:rsidR="00987125" w:rsidRDefault="00987125" w:rsidP="006468F0">
            <w:r>
              <w:t>White</w:t>
            </w:r>
          </w:p>
        </w:tc>
        <w:tc>
          <w:tcPr>
            <w:tcW w:w="4788" w:type="dxa"/>
          </w:tcPr>
          <w:p w:rsidR="00987125" w:rsidRDefault="00987125" w:rsidP="006468F0">
            <w:r>
              <w:t>84%</w:t>
            </w:r>
          </w:p>
        </w:tc>
      </w:tr>
      <w:tr w:rsidR="00987125" w:rsidTr="006468F0">
        <w:tc>
          <w:tcPr>
            <w:tcW w:w="4788" w:type="dxa"/>
          </w:tcPr>
          <w:p w:rsidR="00987125" w:rsidRDefault="00987125" w:rsidP="006468F0">
            <w:r>
              <w:t>Non-White</w:t>
            </w:r>
          </w:p>
        </w:tc>
        <w:tc>
          <w:tcPr>
            <w:tcW w:w="4788" w:type="dxa"/>
          </w:tcPr>
          <w:p w:rsidR="00987125" w:rsidRDefault="00987125" w:rsidP="006468F0">
            <w:r>
              <w:t>16%</w:t>
            </w:r>
          </w:p>
        </w:tc>
      </w:tr>
    </w:tbl>
    <w:p w:rsidR="00987125" w:rsidRDefault="00987125">
      <w:r>
        <w:t>As one would expect for a Republican primary electorate in Mississippi, the electorate is overwhelmingly white.</w:t>
      </w:r>
    </w:p>
    <w:p w:rsidR="000752C1" w:rsidRDefault="000752C1">
      <w:proofErr w:type="spellStart"/>
      <w:r>
        <w:lastRenderedPageBreak/>
        <w:t>Toplines</w:t>
      </w:r>
      <w:proofErr w:type="spellEnd"/>
      <w:r>
        <w:t xml:space="preserve"> by age and gender:</w:t>
      </w:r>
    </w:p>
    <w:tbl>
      <w:tblPr>
        <w:tblStyle w:val="TableGrid"/>
        <w:tblW w:w="0" w:type="auto"/>
        <w:tblLook w:val="04A0"/>
      </w:tblPr>
      <w:tblGrid>
        <w:gridCol w:w="3192"/>
        <w:gridCol w:w="3192"/>
        <w:gridCol w:w="3192"/>
      </w:tblGrid>
      <w:tr w:rsidR="000752C1" w:rsidTr="000752C1">
        <w:tc>
          <w:tcPr>
            <w:tcW w:w="3192" w:type="dxa"/>
          </w:tcPr>
          <w:p w:rsidR="000752C1" w:rsidRDefault="000752C1">
            <w:r>
              <w:t>Candidate</w:t>
            </w:r>
          </w:p>
        </w:tc>
        <w:tc>
          <w:tcPr>
            <w:tcW w:w="3192" w:type="dxa"/>
          </w:tcPr>
          <w:p w:rsidR="000752C1" w:rsidRDefault="000752C1">
            <w:r>
              <w:t>Male</w:t>
            </w:r>
          </w:p>
        </w:tc>
        <w:tc>
          <w:tcPr>
            <w:tcW w:w="3192" w:type="dxa"/>
          </w:tcPr>
          <w:p w:rsidR="000752C1" w:rsidRDefault="000752C1">
            <w:r>
              <w:t>Female</w:t>
            </w:r>
          </w:p>
        </w:tc>
      </w:tr>
      <w:tr w:rsidR="000752C1" w:rsidTr="000752C1">
        <w:tc>
          <w:tcPr>
            <w:tcW w:w="3192" w:type="dxa"/>
          </w:tcPr>
          <w:p w:rsidR="000752C1" w:rsidRDefault="000752C1">
            <w:r>
              <w:t>Carey</w:t>
            </w:r>
          </w:p>
        </w:tc>
        <w:tc>
          <w:tcPr>
            <w:tcW w:w="3192" w:type="dxa"/>
          </w:tcPr>
          <w:p w:rsidR="000752C1" w:rsidRDefault="000752C1">
            <w:r>
              <w:t>7%</w:t>
            </w:r>
          </w:p>
        </w:tc>
        <w:tc>
          <w:tcPr>
            <w:tcW w:w="3192" w:type="dxa"/>
          </w:tcPr>
          <w:p w:rsidR="000752C1" w:rsidRDefault="000752C1">
            <w:r>
              <w:t>6%</w:t>
            </w:r>
          </w:p>
        </w:tc>
      </w:tr>
      <w:tr w:rsidR="000752C1" w:rsidTr="000752C1">
        <w:tc>
          <w:tcPr>
            <w:tcW w:w="3192" w:type="dxa"/>
          </w:tcPr>
          <w:p w:rsidR="000752C1" w:rsidRDefault="000752C1">
            <w:r>
              <w:t>Cochran</w:t>
            </w:r>
          </w:p>
        </w:tc>
        <w:tc>
          <w:tcPr>
            <w:tcW w:w="3192" w:type="dxa"/>
          </w:tcPr>
          <w:p w:rsidR="000752C1" w:rsidRDefault="000752C1">
            <w:r>
              <w:t>34%</w:t>
            </w:r>
          </w:p>
        </w:tc>
        <w:tc>
          <w:tcPr>
            <w:tcW w:w="3192" w:type="dxa"/>
          </w:tcPr>
          <w:p w:rsidR="000752C1" w:rsidRDefault="000752C1">
            <w:r>
              <w:t>48%</w:t>
            </w:r>
          </w:p>
        </w:tc>
      </w:tr>
      <w:tr w:rsidR="000752C1" w:rsidTr="000752C1">
        <w:tc>
          <w:tcPr>
            <w:tcW w:w="3192" w:type="dxa"/>
          </w:tcPr>
          <w:p w:rsidR="000752C1" w:rsidRDefault="000752C1">
            <w:r>
              <w:t>McDaniel</w:t>
            </w:r>
          </w:p>
        </w:tc>
        <w:tc>
          <w:tcPr>
            <w:tcW w:w="3192" w:type="dxa"/>
          </w:tcPr>
          <w:p w:rsidR="000752C1" w:rsidRDefault="000752C1">
            <w:r>
              <w:t>46%</w:t>
            </w:r>
          </w:p>
        </w:tc>
        <w:tc>
          <w:tcPr>
            <w:tcW w:w="3192" w:type="dxa"/>
          </w:tcPr>
          <w:p w:rsidR="000752C1" w:rsidRDefault="000752C1">
            <w:r>
              <w:t>36%</w:t>
            </w:r>
          </w:p>
        </w:tc>
      </w:tr>
      <w:tr w:rsidR="000752C1" w:rsidTr="000752C1">
        <w:tc>
          <w:tcPr>
            <w:tcW w:w="3192" w:type="dxa"/>
          </w:tcPr>
          <w:p w:rsidR="000752C1" w:rsidRDefault="000752C1">
            <w:r>
              <w:t>Undecided</w:t>
            </w:r>
          </w:p>
        </w:tc>
        <w:tc>
          <w:tcPr>
            <w:tcW w:w="3192" w:type="dxa"/>
          </w:tcPr>
          <w:p w:rsidR="000752C1" w:rsidRDefault="000752C1">
            <w:r>
              <w:t>12%</w:t>
            </w:r>
          </w:p>
        </w:tc>
        <w:tc>
          <w:tcPr>
            <w:tcW w:w="3192" w:type="dxa"/>
          </w:tcPr>
          <w:p w:rsidR="000752C1" w:rsidRDefault="00E87BC0">
            <w:r>
              <w:t>11%</w:t>
            </w:r>
          </w:p>
        </w:tc>
      </w:tr>
    </w:tbl>
    <w:p w:rsidR="000752C1" w:rsidRDefault="00E87BC0">
      <w:r>
        <w:t>There is a very pronounced gender gap; Male voters go strongly for McDaniel while Female voters go strongly for Cochran.</w:t>
      </w:r>
    </w:p>
    <w:tbl>
      <w:tblPr>
        <w:tblStyle w:val="TableGrid"/>
        <w:tblW w:w="0" w:type="auto"/>
        <w:tblLook w:val="04A0"/>
      </w:tblPr>
      <w:tblGrid>
        <w:gridCol w:w="2394"/>
        <w:gridCol w:w="2394"/>
        <w:gridCol w:w="2394"/>
        <w:gridCol w:w="2394"/>
      </w:tblGrid>
      <w:tr w:rsidR="00E87BC0" w:rsidTr="00E87BC0">
        <w:tc>
          <w:tcPr>
            <w:tcW w:w="2394" w:type="dxa"/>
          </w:tcPr>
          <w:p w:rsidR="00E87BC0" w:rsidRDefault="00E87BC0">
            <w:r>
              <w:t>Candidate</w:t>
            </w:r>
          </w:p>
        </w:tc>
        <w:tc>
          <w:tcPr>
            <w:tcW w:w="2394" w:type="dxa"/>
          </w:tcPr>
          <w:p w:rsidR="00E87BC0" w:rsidRDefault="00E87BC0">
            <w:r>
              <w:t>Under 45</w:t>
            </w:r>
          </w:p>
        </w:tc>
        <w:tc>
          <w:tcPr>
            <w:tcW w:w="2394" w:type="dxa"/>
          </w:tcPr>
          <w:p w:rsidR="00E87BC0" w:rsidRDefault="00E87BC0">
            <w:r>
              <w:t>45-65</w:t>
            </w:r>
          </w:p>
        </w:tc>
        <w:tc>
          <w:tcPr>
            <w:tcW w:w="2394" w:type="dxa"/>
          </w:tcPr>
          <w:p w:rsidR="00E87BC0" w:rsidRDefault="00E87BC0">
            <w:r>
              <w:t>65+</w:t>
            </w:r>
          </w:p>
        </w:tc>
      </w:tr>
      <w:tr w:rsidR="00E87BC0" w:rsidTr="00E87BC0">
        <w:tc>
          <w:tcPr>
            <w:tcW w:w="2394" w:type="dxa"/>
          </w:tcPr>
          <w:p w:rsidR="00E87BC0" w:rsidRDefault="00E87BC0">
            <w:r>
              <w:t>Carey</w:t>
            </w:r>
          </w:p>
        </w:tc>
        <w:tc>
          <w:tcPr>
            <w:tcW w:w="2394" w:type="dxa"/>
          </w:tcPr>
          <w:p w:rsidR="00E87BC0" w:rsidRDefault="00E87BC0">
            <w:r>
              <w:t>4%</w:t>
            </w:r>
          </w:p>
        </w:tc>
        <w:tc>
          <w:tcPr>
            <w:tcW w:w="2394" w:type="dxa"/>
          </w:tcPr>
          <w:p w:rsidR="00E87BC0" w:rsidRDefault="00E87BC0">
            <w:r>
              <w:t>8%</w:t>
            </w:r>
          </w:p>
        </w:tc>
        <w:tc>
          <w:tcPr>
            <w:tcW w:w="2394" w:type="dxa"/>
          </w:tcPr>
          <w:p w:rsidR="00E87BC0" w:rsidRDefault="00E87BC0">
            <w:r>
              <w:t>6%</w:t>
            </w:r>
          </w:p>
        </w:tc>
      </w:tr>
      <w:tr w:rsidR="00E87BC0" w:rsidTr="00E87BC0">
        <w:tc>
          <w:tcPr>
            <w:tcW w:w="2394" w:type="dxa"/>
          </w:tcPr>
          <w:p w:rsidR="00E87BC0" w:rsidRDefault="00E87BC0">
            <w:r>
              <w:t>Cochran</w:t>
            </w:r>
          </w:p>
        </w:tc>
        <w:tc>
          <w:tcPr>
            <w:tcW w:w="2394" w:type="dxa"/>
          </w:tcPr>
          <w:p w:rsidR="00E87BC0" w:rsidRDefault="00E87BC0">
            <w:r>
              <w:t>25%</w:t>
            </w:r>
          </w:p>
        </w:tc>
        <w:tc>
          <w:tcPr>
            <w:tcW w:w="2394" w:type="dxa"/>
          </w:tcPr>
          <w:p w:rsidR="00E87BC0" w:rsidRDefault="00E87BC0">
            <w:r>
              <w:t>40%</w:t>
            </w:r>
          </w:p>
        </w:tc>
        <w:tc>
          <w:tcPr>
            <w:tcW w:w="2394" w:type="dxa"/>
          </w:tcPr>
          <w:p w:rsidR="00E87BC0" w:rsidRDefault="00E87BC0">
            <w:r>
              <w:t>49%</w:t>
            </w:r>
          </w:p>
        </w:tc>
      </w:tr>
      <w:tr w:rsidR="00E87BC0" w:rsidTr="00E87BC0">
        <w:tc>
          <w:tcPr>
            <w:tcW w:w="2394" w:type="dxa"/>
          </w:tcPr>
          <w:p w:rsidR="00E87BC0" w:rsidRDefault="00E87BC0">
            <w:r>
              <w:t>McDaniel</w:t>
            </w:r>
          </w:p>
        </w:tc>
        <w:tc>
          <w:tcPr>
            <w:tcW w:w="2394" w:type="dxa"/>
          </w:tcPr>
          <w:p w:rsidR="00E87BC0" w:rsidRDefault="00E87BC0">
            <w:r>
              <w:t>47%</w:t>
            </w:r>
          </w:p>
        </w:tc>
        <w:tc>
          <w:tcPr>
            <w:tcW w:w="2394" w:type="dxa"/>
          </w:tcPr>
          <w:p w:rsidR="00E87BC0" w:rsidRDefault="00E87BC0">
            <w:r>
              <w:t>44%</w:t>
            </w:r>
          </w:p>
        </w:tc>
        <w:tc>
          <w:tcPr>
            <w:tcW w:w="2394" w:type="dxa"/>
          </w:tcPr>
          <w:p w:rsidR="00E87BC0" w:rsidRDefault="00E87BC0">
            <w:r>
              <w:t>35%</w:t>
            </w:r>
          </w:p>
        </w:tc>
      </w:tr>
      <w:tr w:rsidR="00E87BC0" w:rsidTr="00E87BC0">
        <w:tc>
          <w:tcPr>
            <w:tcW w:w="2394" w:type="dxa"/>
          </w:tcPr>
          <w:p w:rsidR="00E87BC0" w:rsidRDefault="00E87BC0">
            <w:r>
              <w:t>Undecided</w:t>
            </w:r>
          </w:p>
        </w:tc>
        <w:tc>
          <w:tcPr>
            <w:tcW w:w="2394" w:type="dxa"/>
          </w:tcPr>
          <w:p w:rsidR="00E87BC0" w:rsidRDefault="00E87BC0">
            <w:r>
              <w:t>24%</w:t>
            </w:r>
          </w:p>
        </w:tc>
        <w:tc>
          <w:tcPr>
            <w:tcW w:w="2394" w:type="dxa"/>
          </w:tcPr>
          <w:p w:rsidR="00E87BC0" w:rsidRDefault="00E87BC0">
            <w:r>
              <w:t>8%</w:t>
            </w:r>
          </w:p>
        </w:tc>
        <w:tc>
          <w:tcPr>
            <w:tcW w:w="2394" w:type="dxa"/>
          </w:tcPr>
          <w:p w:rsidR="00E87BC0" w:rsidRDefault="00E87BC0">
            <w:r>
              <w:t>11%</w:t>
            </w:r>
          </w:p>
        </w:tc>
      </w:tr>
    </w:tbl>
    <w:p w:rsidR="001A2FC6" w:rsidRDefault="001A2FC6"/>
    <w:p w:rsidR="00E87BC0" w:rsidRDefault="00E87BC0">
      <w:r>
        <w:t>Young voters are McDaniel’s strongest constituency</w:t>
      </w:r>
      <w:proofErr w:type="gramStart"/>
      <w:r>
        <w:t>;</w:t>
      </w:r>
      <w:r w:rsidR="001A2FC6">
        <w:t xml:space="preserve"> </w:t>
      </w:r>
      <w:r>
        <w:t xml:space="preserve"> </w:t>
      </w:r>
      <w:r w:rsidR="007E5D40">
        <w:t>conversely</w:t>
      </w:r>
      <w:proofErr w:type="gramEnd"/>
      <w:r>
        <w:t>, seniors are strongest for Cochran.</w:t>
      </w:r>
    </w:p>
    <w:tbl>
      <w:tblPr>
        <w:tblStyle w:val="TableGrid"/>
        <w:tblW w:w="0" w:type="auto"/>
        <w:tblLook w:val="04A0"/>
      </w:tblPr>
      <w:tblGrid>
        <w:gridCol w:w="1984"/>
        <w:gridCol w:w="1816"/>
        <w:gridCol w:w="2068"/>
        <w:gridCol w:w="2049"/>
        <w:gridCol w:w="1659"/>
      </w:tblGrid>
      <w:tr w:rsidR="001A2FC6" w:rsidTr="001A2FC6">
        <w:trPr>
          <w:trHeight w:val="188"/>
        </w:trPr>
        <w:tc>
          <w:tcPr>
            <w:tcW w:w="1984" w:type="dxa"/>
          </w:tcPr>
          <w:p w:rsidR="001A2FC6" w:rsidRDefault="001A2FC6" w:rsidP="001A2FC6">
            <w:r>
              <w:t>Ideological Self-ID</w:t>
            </w:r>
          </w:p>
        </w:tc>
        <w:tc>
          <w:tcPr>
            <w:tcW w:w="1816" w:type="dxa"/>
          </w:tcPr>
          <w:p w:rsidR="001A2FC6" w:rsidRDefault="001A2FC6">
            <w:r>
              <w:t>Tea Party</w:t>
            </w:r>
          </w:p>
        </w:tc>
        <w:tc>
          <w:tcPr>
            <w:tcW w:w="2068" w:type="dxa"/>
          </w:tcPr>
          <w:p w:rsidR="001A2FC6" w:rsidRDefault="001A2FC6">
            <w:r>
              <w:t>Conservative non-TP</w:t>
            </w:r>
          </w:p>
        </w:tc>
        <w:tc>
          <w:tcPr>
            <w:tcW w:w="2049" w:type="dxa"/>
          </w:tcPr>
          <w:p w:rsidR="001A2FC6" w:rsidRDefault="001A2FC6">
            <w:r>
              <w:t>Not Conservative</w:t>
            </w:r>
          </w:p>
        </w:tc>
        <w:tc>
          <w:tcPr>
            <w:tcW w:w="1659" w:type="dxa"/>
          </w:tcPr>
          <w:p w:rsidR="001A2FC6" w:rsidRDefault="001A2FC6">
            <w:r>
              <w:t>Other</w:t>
            </w:r>
          </w:p>
        </w:tc>
      </w:tr>
      <w:tr w:rsidR="001A2FC6" w:rsidTr="001A2FC6">
        <w:tc>
          <w:tcPr>
            <w:tcW w:w="1984" w:type="dxa"/>
          </w:tcPr>
          <w:p w:rsidR="001A2FC6" w:rsidRDefault="001A2FC6">
            <w:r>
              <w:t>Carey</w:t>
            </w:r>
          </w:p>
        </w:tc>
        <w:tc>
          <w:tcPr>
            <w:tcW w:w="1816" w:type="dxa"/>
          </w:tcPr>
          <w:p w:rsidR="001A2FC6" w:rsidRDefault="001A2FC6">
            <w:r>
              <w:t>5%</w:t>
            </w:r>
          </w:p>
        </w:tc>
        <w:tc>
          <w:tcPr>
            <w:tcW w:w="2068" w:type="dxa"/>
          </w:tcPr>
          <w:p w:rsidR="001A2FC6" w:rsidRDefault="001A2FC6">
            <w:r>
              <w:t>5%</w:t>
            </w:r>
          </w:p>
        </w:tc>
        <w:tc>
          <w:tcPr>
            <w:tcW w:w="2049" w:type="dxa"/>
          </w:tcPr>
          <w:p w:rsidR="001A2FC6" w:rsidRDefault="00987125">
            <w:r>
              <w:t>11%</w:t>
            </w:r>
          </w:p>
        </w:tc>
        <w:tc>
          <w:tcPr>
            <w:tcW w:w="1659" w:type="dxa"/>
          </w:tcPr>
          <w:p w:rsidR="001A2FC6" w:rsidRDefault="00987125">
            <w:r>
              <w:t>18%</w:t>
            </w:r>
          </w:p>
        </w:tc>
      </w:tr>
      <w:tr w:rsidR="001A2FC6" w:rsidTr="001A2FC6">
        <w:tc>
          <w:tcPr>
            <w:tcW w:w="1984" w:type="dxa"/>
          </w:tcPr>
          <w:p w:rsidR="001A2FC6" w:rsidRDefault="001A2FC6">
            <w:r>
              <w:t>Cochran</w:t>
            </w:r>
          </w:p>
        </w:tc>
        <w:tc>
          <w:tcPr>
            <w:tcW w:w="1816" w:type="dxa"/>
          </w:tcPr>
          <w:p w:rsidR="001A2FC6" w:rsidRDefault="001A2FC6">
            <w:r>
              <w:t>25%</w:t>
            </w:r>
          </w:p>
        </w:tc>
        <w:tc>
          <w:tcPr>
            <w:tcW w:w="2068" w:type="dxa"/>
          </w:tcPr>
          <w:p w:rsidR="001A2FC6" w:rsidRDefault="001A2FC6">
            <w:r>
              <w:t>53%</w:t>
            </w:r>
          </w:p>
        </w:tc>
        <w:tc>
          <w:tcPr>
            <w:tcW w:w="2049" w:type="dxa"/>
          </w:tcPr>
          <w:p w:rsidR="001A2FC6" w:rsidRDefault="00987125">
            <w:r>
              <w:t>45%</w:t>
            </w:r>
          </w:p>
        </w:tc>
        <w:tc>
          <w:tcPr>
            <w:tcW w:w="1659" w:type="dxa"/>
          </w:tcPr>
          <w:p w:rsidR="001A2FC6" w:rsidRDefault="00987125">
            <w:r>
              <w:t>11%</w:t>
            </w:r>
          </w:p>
        </w:tc>
      </w:tr>
      <w:tr w:rsidR="001A2FC6" w:rsidTr="001A2FC6">
        <w:tc>
          <w:tcPr>
            <w:tcW w:w="1984" w:type="dxa"/>
          </w:tcPr>
          <w:p w:rsidR="001A2FC6" w:rsidRDefault="001A2FC6">
            <w:r>
              <w:t>McDaniel</w:t>
            </w:r>
          </w:p>
        </w:tc>
        <w:tc>
          <w:tcPr>
            <w:tcW w:w="1816" w:type="dxa"/>
          </w:tcPr>
          <w:p w:rsidR="001A2FC6" w:rsidRDefault="001A2FC6">
            <w:r>
              <w:t>67%</w:t>
            </w:r>
          </w:p>
        </w:tc>
        <w:tc>
          <w:tcPr>
            <w:tcW w:w="2068" w:type="dxa"/>
          </w:tcPr>
          <w:p w:rsidR="001A2FC6" w:rsidRDefault="001A2FC6">
            <w:r>
              <w:t>33%</w:t>
            </w:r>
          </w:p>
        </w:tc>
        <w:tc>
          <w:tcPr>
            <w:tcW w:w="2049" w:type="dxa"/>
          </w:tcPr>
          <w:p w:rsidR="001A2FC6" w:rsidRDefault="00987125">
            <w:r>
              <w:t>18%</w:t>
            </w:r>
          </w:p>
        </w:tc>
        <w:tc>
          <w:tcPr>
            <w:tcW w:w="1659" w:type="dxa"/>
          </w:tcPr>
          <w:p w:rsidR="001A2FC6" w:rsidRDefault="00987125">
            <w:r>
              <w:t>25%</w:t>
            </w:r>
          </w:p>
        </w:tc>
      </w:tr>
      <w:tr w:rsidR="001A2FC6" w:rsidTr="001A2FC6">
        <w:tc>
          <w:tcPr>
            <w:tcW w:w="1984" w:type="dxa"/>
          </w:tcPr>
          <w:p w:rsidR="001A2FC6" w:rsidRDefault="001A2FC6">
            <w:r>
              <w:t>Undecided</w:t>
            </w:r>
          </w:p>
        </w:tc>
        <w:tc>
          <w:tcPr>
            <w:tcW w:w="1816" w:type="dxa"/>
          </w:tcPr>
          <w:p w:rsidR="001A2FC6" w:rsidRDefault="001A2FC6">
            <w:r>
              <w:t>4%</w:t>
            </w:r>
          </w:p>
        </w:tc>
        <w:tc>
          <w:tcPr>
            <w:tcW w:w="2068" w:type="dxa"/>
          </w:tcPr>
          <w:p w:rsidR="001A2FC6" w:rsidRDefault="001A2FC6">
            <w:r>
              <w:t>9%</w:t>
            </w:r>
          </w:p>
        </w:tc>
        <w:tc>
          <w:tcPr>
            <w:tcW w:w="2049" w:type="dxa"/>
          </w:tcPr>
          <w:p w:rsidR="001A2FC6" w:rsidRDefault="00987125" w:rsidP="00987125">
            <w:r>
              <w:t>26%</w:t>
            </w:r>
          </w:p>
        </w:tc>
        <w:tc>
          <w:tcPr>
            <w:tcW w:w="1659" w:type="dxa"/>
          </w:tcPr>
          <w:p w:rsidR="001A2FC6" w:rsidRDefault="00987125">
            <w:r>
              <w:t>47%</w:t>
            </w:r>
          </w:p>
        </w:tc>
      </w:tr>
    </w:tbl>
    <w:p w:rsidR="001A2FC6" w:rsidRDefault="001A2FC6"/>
    <w:p w:rsidR="00987125" w:rsidRDefault="00987125">
      <w:r>
        <w:t xml:space="preserve">As one would expect, Tea Party voters break overwhelmingly for McDaniel, while non-Tea Party voters break strongly for Cochran. </w:t>
      </w:r>
    </w:p>
    <w:p w:rsidR="00987125" w:rsidRDefault="00732F7E">
      <w:r>
        <w:t>Due to the small percentage of nonwhite voters, racial crosstabs are not particularly informative.</w:t>
      </w:r>
    </w:p>
    <w:p w:rsidR="00732F7E" w:rsidRDefault="00732F7E">
      <w:r>
        <w:t>We also asked how these voters would vote in November if a candidate they didn’t vote for won the primary.</w:t>
      </w:r>
    </w:p>
    <w:tbl>
      <w:tblPr>
        <w:tblStyle w:val="TableGrid"/>
        <w:tblW w:w="0" w:type="auto"/>
        <w:tblLook w:val="04A0"/>
      </w:tblPr>
      <w:tblGrid>
        <w:gridCol w:w="2394"/>
        <w:gridCol w:w="2394"/>
        <w:gridCol w:w="2394"/>
        <w:gridCol w:w="2394"/>
      </w:tblGrid>
      <w:tr w:rsidR="00732F7E" w:rsidTr="00732F7E">
        <w:tc>
          <w:tcPr>
            <w:tcW w:w="2394" w:type="dxa"/>
          </w:tcPr>
          <w:p w:rsidR="00732F7E" w:rsidRDefault="00732F7E" w:rsidP="00732F7E">
            <w:r>
              <w:t>Support R in Nov?</w:t>
            </w:r>
          </w:p>
        </w:tc>
        <w:tc>
          <w:tcPr>
            <w:tcW w:w="2394" w:type="dxa"/>
          </w:tcPr>
          <w:p w:rsidR="00732F7E" w:rsidRDefault="00732F7E">
            <w:r>
              <w:t>Overall</w:t>
            </w:r>
          </w:p>
        </w:tc>
        <w:tc>
          <w:tcPr>
            <w:tcW w:w="2394" w:type="dxa"/>
          </w:tcPr>
          <w:p w:rsidR="00732F7E" w:rsidRDefault="00732F7E">
            <w:r>
              <w:t>Cochran Voters</w:t>
            </w:r>
          </w:p>
        </w:tc>
        <w:tc>
          <w:tcPr>
            <w:tcW w:w="2394" w:type="dxa"/>
          </w:tcPr>
          <w:p w:rsidR="00732F7E" w:rsidRDefault="00732F7E">
            <w:r>
              <w:t>McDaniel Voters</w:t>
            </w:r>
          </w:p>
        </w:tc>
      </w:tr>
      <w:tr w:rsidR="00732F7E" w:rsidTr="00732F7E">
        <w:tc>
          <w:tcPr>
            <w:tcW w:w="2394" w:type="dxa"/>
          </w:tcPr>
          <w:p w:rsidR="00732F7E" w:rsidRDefault="00732F7E">
            <w:r>
              <w:t>Definitely support R</w:t>
            </w:r>
          </w:p>
        </w:tc>
        <w:tc>
          <w:tcPr>
            <w:tcW w:w="2394" w:type="dxa"/>
          </w:tcPr>
          <w:p w:rsidR="00732F7E" w:rsidRDefault="00732F7E">
            <w:r>
              <w:t>57%</w:t>
            </w:r>
          </w:p>
        </w:tc>
        <w:tc>
          <w:tcPr>
            <w:tcW w:w="2394" w:type="dxa"/>
          </w:tcPr>
          <w:p w:rsidR="00732F7E" w:rsidRDefault="00732F7E">
            <w:r>
              <w:t>56%</w:t>
            </w:r>
          </w:p>
        </w:tc>
        <w:tc>
          <w:tcPr>
            <w:tcW w:w="2394" w:type="dxa"/>
          </w:tcPr>
          <w:p w:rsidR="00732F7E" w:rsidRDefault="00732F7E">
            <w:r>
              <w:t>65%</w:t>
            </w:r>
          </w:p>
        </w:tc>
      </w:tr>
      <w:tr w:rsidR="00732F7E" w:rsidTr="00732F7E">
        <w:tc>
          <w:tcPr>
            <w:tcW w:w="2394" w:type="dxa"/>
          </w:tcPr>
          <w:p w:rsidR="00732F7E" w:rsidRDefault="00732F7E">
            <w:r>
              <w:t>Could support either</w:t>
            </w:r>
          </w:p>
        </w:tc>
        <w:tc>
          <w:tcPr>
            <w:tcW w:w="2394" w:type="dxa"/>
          </w:tcPr>
          <w:p w:rsidR="00732F7E" w:rsidRDefault="00732F7E">
            <w:r>
              <w:t>18%</w:t>
            </w:r>
          </w:p>
        </w:tc>
        <w:tc>
          <w:tcPr>
            <w:tcW w:w="2394" w:type="dxa"/>
          </w:tcPr>
          <w:p w:rsidR="00732F7E" w:rsidRDefault="00732F7E">
            <w:r>
              <w:t>21%</w:t>
            </w:r>
          </w:p>
        </w:tc>
        <w:tc>
          <w:tcPr>
            <w:tcW w:w="2394" w:type="dxa"/>
          </w:tcPr>
          <w:p w:rsidR="00732F7E" w:rsidRDefault="00732F7E">
            <w:r>
              <w:t>18%</w:t>
            </w:r>
          </w:p>
        </w:tc>
      </w:tr>
      <w:tr w:rsidR="00732F7E" w:rsidTr="00732F7E">
        <w:tc>
          <w:tcPr>
            <w:tcW w:w="2394" w:type="dxa"/>
          </w:tcPr>
          <w:p w:rsidR="00732F7E" w:rsidRDefault="00732F7E">
            <w:r>
              <w:t>Support D</w:t>
            </w:r>
          </w:p>
        </w:tc>
        <w:tc>
          <w:tcPr>
            <w:tcW w:w="2394" w:type="dxa"/>
          </w:tcPr>
          <w:p w:rsidR="00732F7E" w:rsidRDefault="00732F7E">
            <w:r>
              <w:t>7%</w:t>
            </w:r>
          </w:p>
        </w:tc>
        <w:tc>
          <w:tcPr>
            <w:tcW w:w="2394" w:type="dxa"/>
          </w:tcPr>
          <w:p w:rsidR="00732F7E" w:rsidRDefault="00732F7E">
            <w:r>
              <w:t>9%</w:t>
            </w:r>
          </w:p>
        </w:tc>
        <w:tc>
          <w:tcPr>
            <w:tcW w:w="2394" w:type="dxa"/>
          </w:tcPr>
          <w:p w:rsidR="00732F7E" w:rsidRDefault="00732F7E">
            <w:r>
              <w:t>5%</w:t>
            </w:r>
          </w:p>
        </w:tc>
      </w:tr>
      <w:tr w:rsidR="00732F7E" w:rsidTr="00732F7E">
        <w:tc>
          <w:tcPr>
            <w:tcW w:w="2394" w:type="dxa"/>
          </w:tcPr>
          <w:p w:rsidR="00732F7E" w:rsidRDefault="00732F7E">
            <w:r>
              <w:t>Won’t vote</w:t>
            </w:r>
          </w:p>
        </w:tc>
        <w:tc>
          <w:tcPr>
            <w:tcW w:w="2394" w:type="dxa"/>
          </w:tcPr>
          <w:p w:rsidR="00732F7E" w:rsidRDefault="00732F7E">
            <w:r>
              <w:t>3%</w:t>
            </w:r>
          </w:p>
        </w:tc>
        <w:tc>
          <w:tcPr>
            <w:tcW w:w="2394" w:type="dxa"/>
          </w:tcPr>
          <w:p w:rsidR="00732F7E" w:rsidRDefault="00732F7E">
            <w:r>
              <w:t>2%</w:t>
            </w:r>
          </w:p>
        </w:tc>
        <w:tc>
          <w:tcPr>
            <w:tcW w:w="2394" w:type="dxa"/>
          </w:tcPr>
          <w:p w:rsidR="00732F7E" w:rsidRDefault="00732F7E">
            <w:r>
              <w:t>4%</w:t>
            </w:r>
          </w:p>
        </w:tc>
      </w:tr>
      <w:tr w:rsidR="00732F7E" w:rsidTr="00732F7E">
        <w:tc>
          <w:tcPr>
            <w:tcW w:w="2394" w:type="dxa"/>
          </w:tcPr>
          <w:p w:rsidR="00732F7E" w:rsidRDefault="00732F7E">
            <w:r>
              <w:t>Other</w:t>
            </w:r>
          </w:p>
        </w:tc>
        <w:tc>
          <w:tcPr>
            <w:tcW w:w="2394" w:type="dxa"/>
          </w:tcPr>
          <w:p w:rsidR="00732F7E" w:rsidRDefault="00732F7E">
            <w:r>
              <w:t>15%</w:t>
            </w:r>
          </w:p>
        </w:tc>
        <w:tc>
          <w:tcPr>
            <w:tcW w:w="2394" w:type="dxa"/>
          </w:tcPr>
          <w:p w:rsidR="00732F7E" w:rsidRDefault="00732F7E">
            <w:r>
              <w:t>11%</w:t>
            </w:r>
          </w:p>
        </w:tc>
        <w:tc>
          <w:tcPr>
            <w:tcW w:w="2394" w:type="dxa"/>
          </w:tcPr>
          <w:p w:rsidR="00732F7E" w:rsidRDefault="00732F7E">
            <w:r>
              <w:t>8%</w:t>
            </w:r>
          </w:p>
        </w:tc>
      </w:tr>
    </w:tbl>
    <w:p w:rsidR="00732F7E" w:rsidRDefault="00732F7E"/>
    <w:p w:rsidR="00A659CB" w:rsidRDefault="00A659CB">
      <w:r>
        <w:t>The data show that a significant percentage, about one in four, would at least consider voting for the Democratic nominee if their chosen candidate lost the primary. Cochran voters are only slightly more likely than McDaniel voters to consider crossing party lines in November.</w:t>
      </w:r>
    </w:p>
    <w:tbl>
      <w:tblPr>
        <w:tblStyle w:val="TableGrid"/>
        <w:tblW w:w="0" w:type="auto"/>
        <w:tblLook w:val="04A0"/>
      </w:tblPr>
      <w:tblGrid>
        <w:gridCol w:w="1915"/>
        <w:gridCol w:w="1915"/>
        <w:gridCol w:w="1915"/>
        <w:gridCol w:w="1915"/>
        <w:gridCol w:w="1916"/>
      </w:tblGrid>
      <w:tr w:rsidR="00D80901" w:rsidTr="00D80901">
        <w:tc>
          <w:tcPr>
            <w:tcW w:w="1915" w:type="dxa"/>
          </w:tcPr>
          <w:p w:rsidR="00D80901" w:rsidRDefault="00D80901">
            <w:r>
              <w:t>Geography</w:t>
            </w:r>
          </w:p>
        </w:tc>
        <w:tc>
          <w:tcPr>
            <w:tcW w:w="1915" w:type="dxa"/>
          </w:tcPr>
          <w:p w:rsidR="00D80901" w:rsidRDefault="00D5008D" w:rsidP="00D5008D">
            <w:r>
              <w:t>CD-1 (20</w:t>
            </w:r>
            <w:r w:rsidR="00D80901">
              <w:t>%)</w:t>
            </w:r>
          </w:p>
        </w:tc>
        <w:tc>
          <w:tcPr>
            <w:tcW w:w="1915" w:type="dxa"/>
          </w:tcPr>
          <w:p w:rsidR="00D80901" w:rsidRDefault="00D80901" w:rsidP="00D5008D">
            <w:r>
              <w:t>CD-2 (1</w:t>
            </w:r>
            <w:r w:rsidR="00D5008D">
              <w:t>5</w:t>
            </w:r>
            <w:r>
              <w:t>%)</w:t>
            </w:r>
          </w:p>
        </w:tc>
        <w:tc>
          <w:tcPr>
            <w:tcW w:w="1915" w:type="dxa"/>
          </w:tcPr>
          <w:p w:rsidR="00D80901" w:rsidRDefault="0009169B" w:rsidP="00D5008D">
            <w:r>
              <w:t>CD-3 (3</w:t>
            </w:r>
            <w:r w:rsidR="00D5008D">
              <w:t>0</w:t>
            </w:r>
            <w:r>
              <w:t>%)</w:t>
            </w:r>
          </w:p>
        </w:tc>
        <w:tc>
          <w:tcPr>
            <w:tcW w:w="1916" w:type="dxa"/>
          </w:tcPr>
          <w:p w:rsidR="00D80901" w:rsidRDefault="00D5008D">
            <w:r>
              <w:t>CD-4 (35</w:t>
            </w:r>
            <w:r w:rsidR="0009169B">
              <w:t>%)</w:t>
            </w:r>
          </w:p>
        </w:tc>
      </w:tr>
      <w:tr w:rsidR="00D80901" w:rsidTr="00D80901">
        <w:tc>
          <w:tcPr>
            <w:tcW w:w="1915" w:type="dxa"/>
          </w:tcPr>
          <w:p w:rsidR="00D80901" w:rsidRDefault="00D5008D">
            <w:r>
              <w:lastRenderedPageBreak/>
              <w:t>Carey</w:t>
            </w:r>
          </w:p>
        </w:tc>
        <w:tc>
          <w:tcPr>
            <w:tcW w:w="1915" w:type="dxa"/>
          </w:tcPr>
          <w:p w:rsidR="00D80901" w:rsidRDefault="00A659CB">
            <w:r>
              <w:t>5%</w:t>
            </w:r>
          </w:p>
        </w:tc>
        <w:tc>
          <w:tcPr>
            <w:tcW w:w="1915" w:type="dxa"/>
          </w:tcPr>
          <w:p w:rsidR="00D80901" w:rsidRDefault="00A659CB">
            <w:r>
              <w:t>6%</w:t>
            </w:r>
          </w:p>
        </w:tc>
        <w:tc>
          <w:tcPr>
            <w:tcW w:w="1915" w:type="dxa"/>
          </w:tcPr>
          <w:p w:rsidR="00D80901" w:rsidRDefault="00A659CB">
            <w:r>
              <w:t>6%</w:t>
            </w:r>
          </w:p>
        </w:tc>
        <w:tc>
          <w:tcPr>
            <w:tcW w:w="1916" w:type="dxa"/>
          </w:tcPr>
          <w:p w:rsidR="00D80901" w:rsidRDefault="00A659CB">
            <w:r>
              <w:t>7%</w:t>
            </w:r>
          </w:p>
        </w:tc>
      </w:tr>
      <w:tr w:rsidR="00D80901" w:rsidTr="00D80901">
        <w:tc>
          <w:tcPr>
            <w:tcW w:w="1915" w:type="dxa"/>
          </w:tcPr>
          <w:p w:rsidR="00D80901" w:rsidRDefault="00D5008D">
            <w:r>
              <w:t>Cochran</w:t>
            </w:r>
          </w:p>
        </w:tc>
        <w:tc>
          <w:tcPr>
            <w:tcW w:w="1915" w:type="dxa"/>
          </w:tcPr>
          <w:p w:rsidR="00D80901" w:rsidRDefault="00A659CB">
            <w:r>
              <w:t>38%</w:t>
            </w:r>
          </w:p>
        </w:tc>
        <w:tc>
          <w:tcPr>
            <w:tcW w:w="1915" w:type="dxa"/>
          </w:tcPr>
          <w:p w:rsidR="00D80901" w:rsidRDefault="00A659CB">
            <w:r>
              <w:t>40%</w:t>
            </w:r>
          </w:p>
        </w:tc>
        <w:tc>
          <w:tcPr>
            <w:tcW w:w="1915" w:type="dxa"/>
          </w:tcPr>
          <w:p w:rsidR="00D80901" w:rsidRDefault="00A659CB">
            <w:r>
              <w:t>48%</w:t>
            </w:r>
          </w:p>
        </w:tc>
        <w:tc>
          <w:tcPr>
            <w:tcW w:w="1916" w:type="dxa"/>
          </w:tcPr>
          <w:p w:rsidR="00D80901" w:rsidRDefault="00A659CB">
            <w:r>
              <w:t>38%</w:t>
            </w:r>
          </w:p>
        </w:tc>
      </w:tr>
      <w:tr w:rsidR="00D80901" w:rsidTr="00D80901">
        <w:tc>
          <w:tcPr>
            <w:tcW w:w="1915" w:type="dxa"/>
          </w:tcPr>
          <w:p w:rsidR="00D80901" w:rsidRDefault="00D5008D">
            <w:r>
              <w:t>McDaniel</w:t>
            </w:r>
          </w:p>
        </w:tc>
        <w:tc>
          <w:tcPr>
            <w:tcW w:w="1915" w:type="dxa"/>
          </w:tcPr>
          <w:p w:rsidR="00D80901" w:rsidRDefault="00A659CB">
            <w:r>
              <w:t>45%</w:t>
            </w:r>
          </w:p>
        </w:tc>
        <w:tc>
          <w:tcPr>
            <w:tcW w:w="1915" w:type="dxa"/>
          </w:tcPr>
          <w:p w:rsidR="00D80901" w:rsidRDefault="00A659CB">
            <w:r>
              <w:t>50%</w:t>
            </w:r>
          </w:p>
        </w:tc>
        <w:tc>
          <w:tcPr>
            <w:tcW w:w="1915" w:type="dxa"/>
          </w:tcPr>
          <w:p w:rsidR="00D80901" w:rsidRDefault="00A659CB">
            <w:r>
              <w:t>36%</w:t>
            </w:r>
          </w:p>
        </w:tc>
        <w:tc>
          <w:tcPr>
            <w:tcW w:w="1916" w:type="dxa"/>
          </w:tcPr>
          <w:p w:rsidR="00D80901" w:rsidRDefault="00A659CB">
            <w:r>
              <w:t>40%</w:t>
            </w:r>
          </w:p>
        </w:tc>
      </w:tr>
      <w:tr w:rsidR="00D80901" w:rsidTr="00D80901">
        <w:tc>
          <w:tcPr>
            <w:tcW w:w="1915" w:type="dxa"/>
          </w:tcPr>
          <w:p w:rsidR="00D80901" w:rsidRDefault="00D5008D">
            <w:r>
              <w:t>Undecided</w:t>
            </w:r>
          </w:p>
        </w:tc>
        <w:tc>
          <w:tcPr>
            <w:tcW w:w="1915" w:type="dxa"/>
          </w:tcPr>
          <w:p w:rsidR="00D80901" w:rsidRDefault="00A659CB">
            <w:r>
              <w:t>13%</w:t>
            </w:r>
          </w:p>
        </w:tc>
        <w:tc>
          <w:tcPr>
            <w:tcW w:w="1915" w:type="dxa"/>
          </w:tcPr>
          <w:p w:rsidR="00D80901" w:rsidRDefault="00A659CB">
            <w:r>
              <w:t>3%</w:t>
            </w:r>
          </w:p>
        </w:tc>
        <w:tc>
          <w:tcPr>
            <w:tcW w:w="1915" w:type="dxa"/>
          </w:tcPr>
          <w:p w:rsidR="00D80901" w:rsidRDefault="00A659CB">
            <w:r>
              <w:t>10%</w:t>
            </w:r>
          </w:p>
        </w:tc>
        <w:tc>
          <w:tcPr>
            <w:tcW w:w="1916" w:type="dxa"/>
          </w:tcPr>
          <w:p w:rsidR="00D80901" w:rsidRDefault="00B617AA">
            <w:r>
              <w:t>15%</w:t>
            </w:r>
          </w:p>
        </w:tc>
      </w:tr>
    </w:tbl>
    <w:p w:rsidR="00D80901" w:rsidRDefault="00D80901"/>
    <w:p w:rsidR="00A659CB" w:rsidRDefault="00A659CB">
      <w:r>
        <w:t>Cochran’s strongest area is the 3</w:t>
      </w:r>
      <w:r w:rsidRPr="00A659CB">
        <w:rPr>
          <w:vertAlign w:val="superscript"/>
        </w:rPr>
        <w:t>rd</w:t>
      </w:r>
      <w:r>
        <w:t xml:space="preserve"> district, dominated by the upper-middle class suburban Rankin </w:t>
      </w:r>
      <w:proofErr w:type="gramStart"/>
      <w:r>
        <w:t>county</w:t>
      </w:r>
      <w:proofErr w:type="gramEnd"/>
      <w:r>
        <w:t xml:space="preserve">. </w:t>
      </w:r>
    </w:p>
    <w:p w:rsidR="00D80901" w:rsidRDefault="00D80901">
      <w:pPr>
        <w:rPr>
          <w:b/>
        </w:rPr>
      </w:pPr>
      <w:r>
        <w:rPr>
          <w:b/>
        </w:rPr>
        <w:t>Discussion:</w:t>
      </w:r>
    </w:p>
    <w:p w:rsidR="00B617AA" w:rsidRPr="007E5D40" w:rsidRDefault="00D80901">
      <w:pPr>
        <w:rPr>
          <w:rFonts w:cstheme="minorHAnsi"/>
        </w:rPr>
      </w:pPr>
      <w:r>
        <w:t>RRH finds the race between Thad Cochran and Chris McDaniel close; indeed, we see the race close enough that the presence of unheralded third candidate Thomas Carey may throw the contest to a runoff on June 24. As expected, McDaniel’s support comes from younger, male, and Tea Party voters, while Cochran does best among older, female, and non-Tea Party primary voters.</w:t>
      </w:r>
      <w:r w:rsidR="00B617AA">
        <w:t xml:space="preserve"> Unlike all previous polls of the race, RRH finds the race so close, and spoiler Thomas Carey drawing enough votes, that </w:t>
      </w:r>
      <w:r w:rsidR="007E5D40">
        <w:t xml:space="preserve">we see that </w:t>
      </w:r>
      <w:r w:rsidR="00B617AA">
        <w:t>the possibility of a June 24 runoff is very real.</w:t>
      </w:r>
    </w:p>
    <w:p w:rsidR="00D80901" w:rsidRPr="007E5D40" w:rsidRDefault="00B617AA" w:rsidP="00B617AA">
      <w:pPr>
        <w:rPr>
          <w:rFonts w:cstheme="minorHAnsi"/>
        </w:rPr>
      </w:pPr>
      <w:r w:rsidRPr="007E5D40">
        <w:rPr>
          <w:rStyle w:val="Strong"/>
          <w:rFonts w:cstheme="minorHAnsi"/>
        </w:rPr>
        <w:t>About Red Racing Horses &amp; Contact Info</w:t>
      </w:r>
      <w:proofErr w:type="gramStart"/>
      <w:r w:rsidRPr="007E5D40">
        <w:rPr>
          <w:rStyle w:val="Strong"/>
          <w:rFonts w:cstheme="minorHAnsi"/>
        </w:rPr>
        <w:t>:</w:t>
      </w:r>
      <w:proofErr w:type="gramEnd"/>
      <w:r w:rsidRPr="007E5D40">
        <w:rPr>
          <w:rFonts w:cstheme="minorHAnsi"/>
        </w:rPr>
        <w:br/>
      </w:r>
      <w:r w:rsidRPr="007E5D40">
        <w:rPr>
          <w:rFonts w:cstheme="minorHAnsi"/>
        </w:rPr>
        <w:br/>
        <w:t xml:space="preserve">Red Racing Horses (redracinghorses.com) is a collaborative, Republican-oriented blog focusing on horserace politics. We offer daily news updates on the American political landscape and stimulating discussion of upcoming elections. RRH is run by a team of eight volunteer hobbyists, and our website and polling are funded by generous donations from our readers. We have previously conducted polls of congressional elections in </w:t>
      </w:r>
      <w:hyperlink r:id="rId7" w:history="1">
        <w:r w:rsidRPr="007E5D40">
          <w:rPr>
            <w:rStyle w:val="Hyperlink"/>
            <w:rFonts w:cstheme="minorHAnsi"/>
            <w:u w:val="single"/>
          </w:rPr>
          <w:t>Louisiana</w:t>
        </w:r>
      </w:hyperlink>
      <w:r w:rsidRPr="007E5D40">
        <w:rPr>
          <w:rFonts w:cstheme="minorHAnsi"/>
        </w:rPr>
        <w:t xml:space="preserve"> and </w:t>
      </w:r>
      <w:hyperlink r:id="rId8" w:history="1">
        <w:r w:rsidRPr="007E5D40">
          <w:rPr>
            <w:rStyle w:val="Hyperlink"/>
            <w:rFonts w:cstheme="minorHAnsi"/>
            <w:u w:val="single"/>
          </w:rPr>
          <w:t>South Carolina</w:t>
        </w:r>
      </w:hyperlink>
      <w:r w:rsidRPr="007E5D40">
        <w:rPr>
          <w:rFonts w:cstheme="minorHAnsi"/>
        </w:rPr>
        <w:t xml:space="preserve">, and </w:t>
      </w:r>
      <w:hyperlink r:id="rId9" w:history="1">
        <w:r w:rsidRPr="007E5D40">
          <w:rPr>
            <w:rStyle w:val="Hyperlink"/>
            <w:rFonts w:cstheme="minorHAnsi"/>
            <w:u w:val="single"/>
          </w:rPr>
          <w:t>Florida</w:t>
        </w:r>
      </w:hyperlink>
      <w:r w:rsidRPr="007E5D40">
        <w:rPr>
          <w:rFonts w:cstheme="minorHAnsi"/>
        </w:rPr>
        <w:t>. RRH is not affiliated with any campaign or partisan organization. To contact Red Racing Horses about this poll, e-mail us at redracinghorses@yahoo.com.</w:t>
      </w:r>
    </w:p>
    <w:sectPr w:rsidR="00D80901" w:rsidRPr="007E5D40" w:rsidSect="003D5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AC" w:rsidRDefault="003A30AC" w:rsidP="007E5D40">
      <w:pPr>
        <w:spacing w:after="0" w:line="240" w:lineRule="auto"/>
      </w:pPr>
      <w:r>
        <w:separator/>
      </w:r>
    </w:p>
  </w:endnote>
  <w:endnote w:type="continuationSeparator" w:id="0">
    <w:p w:rsidR="003A30AC" w:rsidRDefault="003A30AC" w:rsidP="007E5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AC" w:rsidRDefault="003A30AC" w:rsidP="007E5D40">
      <w:pPr>
        <w:spacing w:after="0" w:line="240" w:lineRule="auto"/>
      </w:pPr>
      <w:r>
        <w:separator/>
      </w:r>
    </w:p>
  </w:footnote>
  <w:footnote w:type="continuationSeparator" w:id="0">
    <w:p w:rsidR="003A30AC" w:rsidRDefault="003A30AC" w:rsidP="007E5D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331C"/>
    <w:rsid w:val="000752C1"/>
    <w:rsid w:val="0009169B"/>
    <w:rsid w:val="001A2FC6"/>
    <w:rsid w:val="00291B26"/>
    <w:rsid w:val="003A30AC"/>
    <w:rsid w:val="003D5D21"/>
    <w:rsid w:val="00666A1D"/>
    <w:rsid w:val="00732F7E"/>
    <w:rsid w:val="007E5D40"/>
    <w:rsid w:val="0082331C"/>
    <w:rsid w:val="0095530D"/>
    <w:rsid w:val="00987125"/>
    <w:rsid w:val="009C23AD"/>
    <w:rsid w:val="00A659CB"/>
    <w:rsid w:val="00B10DBC"/>
    <w:rsid w:val="00B617AA"/>
    <w:rsid w:val="00D5008D"/>
    <w:rsid w:val="00D80901"/>
    <w:rsid w:val="00E7064F"/>
    <w:rsid w:val="00E87BC0"/>
    <w:rsid w:val="00F83009"/>
    <w:rsid w:val="00FE1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7AA"/>
    <w:rPr>
      <w:strike w:val="0"/>
      <w:dstrike w:val="0"/>
      <w:color w:val="000000"/>
      <w:u w:val="none"/>
      <w:effect w:val="none"/>
    </w:rPr>
  </w:style>
  <w:style w:type="character" w:styleId="Strong">
    <w:name w:val="Strong"/>
    <w:basedOn w:val="DefaultParagraphFont"/>
    <w:uiPriority w:val="22"/>
    <w:qFormat/>
    <w:rsid w:val="00B617AA"/>
    <w:rPr>
      <w:b/>
      <w:bCs/>
    </w:rPr>
  </w:style>
  <w:style w:type="paragraph" w:styleId="BalloonText">
    <w:name w:val="Balloon Text"/>
    <w:basedOn w:val="Normal"/>
    <w:link w:val="BalloonTextChar"/>
    <w:uiPriority w:val="99"/>
    <w:semiHidden/>
    <w:unhideWhenUsed/>
    <w:rsid w:val="007E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40"/>
    <w:rPr>
      <w:rFonts w:ascii="Tahoma" w:hAnsi="Tahoma" w:cs="Tahoma"/>
      <w:sz w:val="16"/>
      <w:szCs w:val="16"/>
    </w:rPr>
  </w:style>
  <w:style w:type="paragraph" w:styleId="Header">
    <w:name w:val="header"/>
    <w:basedOn w:val="Normal"/>
    <w:link w:val="HeaderChar"/>
    <w:uiPriority w:val="99"/>
    <w:semiHidden/>
    <w:unhideWhenUsed/>
    <w:rsid w:val="007E5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D40"/>
  </w:style>
  <w:style w:type="paragraph" w:styleId="Footer">
    <w:name w:val="footer"/>
    <w:basedOn w:val="Normal"/>
    <w:link w:val="FooterChar"/>
    <w:uiPriority w:val="99"/>
    <w:semiHidden/>
    <w:unhideWhenUsed/>
    <w:rsid w:val="007E5D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D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racinghorses.com/diary/diary/3085" TargetMode="External"/><Relationship Id="rId3" Type="http://schemas.openxmlformats.org/officeDocument/2006/relationships/webSettings" Target="webSettings.xml"/><Relationship Id="rId7" Type="http://schemas.openxmlformats.org/officeDocument/2006/relationships/hyperlink" Target="http://www.redracinghorses.com/diary/diary/27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edracinghorses.com/diary/3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smithte</dc:creator>
  <cp:lastModifiedBy>smithte</cp:lastModifiedBy>
  <cp:revision>3</cp:revision>
  <dcterms:created xsi:type="dcterms:W3CDTF">2014-05-30T18:42:00Z</dcterms:created>
  <dcterms:modified xsi:type="dcterms:W3CDTF">2014-05-30T18:52:00Z</dcterms:modified>
</cp:coreProperties>
</file>